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数字校园</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学校的数字校园建设较为完善，各校区校园网万兆光纤直联，全部楼宇通达光纤，信息点覆盖率达100%，公共区域免费无线网GCP-WiFi覆盖率达100%。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新生入校即可获得以学号为个人有线无线网络统一的上网账号，在各校区的所有公共区域均可统一认证免费接入校园无线网络；移动校园APP支持师生使用智能手机、平板电脑等移动终端在任何地点实现移动学习、移动图书、移动后勤、信息查询、交流互动等便捷的各类校园信息化服务。通过单点登录进入数字化校园智慧门户，即可一站式访问企业级邮箱、网络教学平台、教务信息、个人信息查询、网络服务大厅、智慧后勤等校园生活各方面的信息服务；校园卡可实现跨校区通用消费和图书通借通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学校拥有优质的网络教学平台和教学资源库等教学资源应用系统三十余个。在校生可通过注册教学平台和移动学习APP开展灵活多样的线上线下教学活动；各类专业教学资源库为全体学生提供了专业课程学习和实训环境；校园视频点播网的原创视频，为学生了解和融入广城校园文化提供了窗口。学校2018年建成的VR工程中心融合了5G、大数据、智能感知等新兴技术，现有体验类资源、全景式VR资源、AR创作资源、虚拟展厅类资源、教学创作类素材、职业培训素材等可供师生们学习和使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信息与教育技术中心提出的服务宗旨是：“打造一流的网络平台，拓展智慧的应用系统，提升便捷的用户体验”。使我校的智慧校园和教育信息技术的建设应用水平始终稳居全省高职院校前列。</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F518E"/>
    <w:rsid w:val="675F5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2022-03-24T11:21:00Z</dcterms:created>
  <dc:creator>WPS_1643980942</dc:creator>
  <cp:lastModifiedBy>WPS_1643980942</cp:lastModifiedBy>
  <dcterms:modified xsi:type="dcterms:W3CDTF">2022-03-24T11:21:57Z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2052-11.1.0.11220</vt:lpwstr>
  </property>
  <property fmtid="{D5CDD505-2E9C-101B-9397-08002B2CF9AE}" pid="3" name="ICV">
    <vt:lpwstr>C24E50797B2048AFA4694B9072AF16BC</vt:lpwstr>
  </property>
</Properties>
</file>